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DE" w:rsidRPr="00776EDE" w:rsidRDefault="00776EDE" w:rsidP="00776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J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Sun et al. BMC Oral Health (2018) 18:91</w:t>
      </w:r>
    </w:p>
    <w:p w:rsidR="00776EDE" w:rsidRPr="00776EDE" w:rsidRDefault="009A7242" w:rsidP="00776EDE">
      <w:pPr>
        <w:spacing w:after="0" w:line="240" w:lineRule="auto"/>
        <w:rPr>
          <w:rFonts w:ascii="Times New Roman" w:hAnsi="Times New Roman" w:cs="Times New Roman"/>
          <w:color w:val="131413"/>
          <w:kern w:val="0"/>
          <w:sz w:val="24"/>
          <w:szCs w:val="24"/>
        </w:rPr>
      </w:pPr>
      <w:hyperlink r:id="rId7" w:history="1">
        <w:r w:rsidR="00776EDE" w:rsidRPr="00776EDE">
          <w:rPr>
            <w:rStyle w:val="a4"/>
            <w:rFonts w:ascii="Times New Roman" w:hAnsi="Times New Roman" w:cs="Times New Roman"/>
            <w:kern w:val="0"/>
            <w:sz w:val="24"/>
            <w:szCs w:val="24"/>
          </w:rPr>
          <w:t>https://doi.org/10.1186/s12903-018-0551-1</w:t>
        </w:r>
      </w:hyperlink>
    </w:p>
    <w:p w:rsidR="00776EDE" w:rsidRDefault="00776EDE" w:rsidP="00776EDE">
      <w:pPr>
        <w:spacing w:after="0" w:line="240" w:lineRule="auto"/>
        <w:rPr>
          <w:rFonts w:asciiTheme="minorHAnsi" w:hAnsiTheme="minorHAnsi" w:cs="FhkkqfAdvTTe45e47d2"/>
          <w:color w:val="131413"/>
          <w:kern w:val="0"/>
          <w:sz w:val="16"/>
          <w:szCs w:val="16"/>
        </w:rPr>
      </w:pPr>
    </w:p>
    <w:p w:rsidR="00CA5AFB" w:rsidRDefault="008F44FD" w:rsidP="00776E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bookmarkStart w:id="0" w:name="_GoBack"/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 xml:space="preserve">Обобщение знаний относительно </w:t>
      </w:r>
      <w:proofErr w:type="spellStart"/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 xml:space="preserve"> движения зубов через верхнечелюстную пазуху</w:t>
      </w:r>
      <w:bookmarkEnd w:id="0"/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: систематический обзор</w:t>
      </w:r>
      <w:r w:rsidRPr="00AD6AC8"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 xml:space="preserve">литературы. </w:t>
      </w:r>
    </w:p>
    <w:p w:rsidR="00CA5AFB" w:rsidRDefault="008F44FD" w:rsidP="00776EDE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  <w:lang w:val="en-US"/>
        </w:rPr>
      </w:pP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Wentian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Sun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vertAlign w:val="superscript"/>
          <w:lang w:val="en-US"/>
        </w:rPr>
        <w:t>1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, Kai Xia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vertAlign w:val="superscript"/>
          <w:lang w:val="en-US"/>
        </w:rPr>
        <w:t>1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Xinqi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Huang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vertAlign w:val="superscript"/>
          <w:lang w:val="en-US"/>
        </w:rPr>
        <w:t>1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, Xiao Cen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vertAlign w:val="superscript"/>
          <w:lang w:val="en-US"/>
        </w:rPr>
        <w:t>2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, Qing Liu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vertAlign w:val="superscript"/>
          <w:lang w:val="en-US"/>
        </w:rPr>
        <w:t>1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and Jun Liu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vertAlign w:val="superscript"/>
          <w:lang w:val="en-US"/>
        </w:rPr>
        <w:t>1*</w:t>
      </w:r>
    </w:p>
    <w:p w:rsidR="00CA5AFB" w:rsidRDefault="00CA5AFB" w:rsidP="00776EDE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  <w:lang w:val="en-US"/>
        </w:rPr>
      </w:pPr>
    </w:p>
    <w:p w:rsidR="00CA5AFB" w:rsidRDefault="008F44FD" w:rsidP="00776E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Аннотация</w:t>
      </w:r>
    </w:p>
    <w:p w:rsidR="00CA5AFB" w:rsidRDefault="008F44FD" w:rsidP="00776EDE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Цели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: Систематический обзор литературы для изучения возможности, безопасности и стабильности современных вмешательств для перемещения зубов через верхнечелюстную пазуху (ВЧП).</w:t>
      </w:r>
    </w:p>
    <w:p w:rsidR="00CA5AFB" w:rsidRDefault="008F44FD" w:rsidP="00776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Методы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: Изучались электронные базы данных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PubMed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Embase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CENTRAL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Web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of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Science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CBM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CNKI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SIGLE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без языковых ограничений. Первостепенными результатами были параметры, касающиеся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лечения - механика, величина сил; тип, длительность и скорость перемещения;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ремоделяция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альвеолярной кости и дна верхнечелюстной пазухи. Во вторую очередь изучали стабильность и безопасность, включая резорбцию корней, перфорацию дна пазухи, потерю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витальности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пульпы, повреждение пародонта, рецидив.</w:t>
      </w:r>
    </w:p>
    <w:p w:rsidR="00CA5AFB" w:rsidRDefault="008F44FD" w:rsidP="00776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Результаты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: Были выбраны и подвергнуты системному анализу 9 описаний клинических случаев с 25 исследуемыми зубами. Для перемещения зубов через верхнечелюстную пазуху применялись силы от 200 г до 500 г. В итоге было достигнуто корпусное перемещение, но в начале движения в 7 случаях наблюдался наклон. Скорость составляла 0.6 – 0.7 мм/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мес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интрузии моляров, 0.16 – 1.17 и 0.05 – 0.16 мм/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мес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мезиодистального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перемещения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премоляров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 моляров соответственно. Образование кости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ремоделяция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дна пазухи наблюдалась в 7 случаях. Резорбция корней в течение 6 – 30 месяцев наблюдалась в 3 случаях, не было описано случаев перфорации дна пазухи, потери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витальности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пульпы, повреждения пародонта и рецидивов.</w:t>
      </w:r>
    </w:p>
    <w:p w:rsidR="00CA5AFB" w:rsidRDefault="008F44FD" w:rsidP="00776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Вывод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: В настоящее время не существует рекомендованного доказательного протокола для перемещений в области ВЧП. Эмпирическое применение непрерывной силы лёгкой или средней величины (с помощью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минивинтов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частичной и полной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брекет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-системы) для медленного перемещения зубов через или в направлении верхнечелюстной пазухи у взрослых кажется применимым и безопасным. Корпусное перемещение достижимо, но кажется, что зубы имеют тенденцию к первоначальному наклону, что потенциально может приводить к резорбции корней. Тем не менее, этот вывод должен быть интерпретирован с осторожностью, так как доступные сейчас доказательства основаны только на нескольких клинических случаях или серии случаев,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лонгитюдных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или контролируемых исследований в этой области не хватает.</w:t>
      </w:r>
    </w:p>
    <w:p w:rsidR="00CA5AFB" w:rsidRDefault="008F44FD" w:rsidP="00776EDE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Ключевые слова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: Интрузия, Верхнечелюстная пазуха, Ортодонтия, Резорбция корней, Систематический обзор, Перемещение зубов</w:t>
      </w:r>
    </w:p>
    <w:p w:rsidR="00CA5AFB" w:rsidRDefault="00CA5AFB" w:rsidP="00776EDE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CA5AFB" w:rsidP="00776EDE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 w:rsidP="00776E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Arial" w:hAnsi="Arial"/>
          <w:kern w:val="0"/>
          <w:sz w:val="15"/>
          <w:szCs w:val="15"/>
        </w:rPr>
        <w:t>*</w:t>
      </w:r>
      <w:r>
        <w:rPr>
          <w:rFonts w:ascii="Times New Roman" w:hAnsi="Times New Roman"/>
          <w:kern w:val="0"/>
          <w:sz w:val="24"/>
          <w:szCs w:val="24"/>
        </w:rPr>
        <w:t xml:space="preserve">Для связи: </w:t>
      </w:r>
      <w:hyperlink r:id="rId8" w:history="1">
        <w:r>
          <w:rPr>
            <w:rStyle w:val="Hyperlink0"/>
            <w:rFonts w:eastAsia="Arial Unicode MS"/>
          </w:rPr>
          <w:t>junliu@scu.edu.cn</w:t>
        </w:r>
      </w:hyperlink>
    </w:p>
    <w:p w:rsidR="00CA5AFB" w:rsidRDefault="008F44FD" w:rsidP="00776E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vertAlign w:val="superscript"/>
        </w:rPr>
        <w:t>1</w:t>
      </w:r>
      <w:r>
        <w:rPr>
          <w:rFonts w:ascii="Times New Roman" w:hAnsi="Times New Roman"/>
          <w:kern w:val="0"/>
          <w:sz w:val="24"/>
          <w:szCs w:val="24"/>
        </w:rPr>
        <w:t xml:space="preserve"> Государственная лаборатория болезней полости рта, Национальный центр клинических исследований болезней полости рта, Отделение ортодонтии, Госпиталь стоматологии Западного Китая,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Сычуаньский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университет, Чэнду 610041, Китай</w:t>
      </w:r>
    </w:p>
    <w:p w:rsidR="00CA5AFB" w:rsidRPr="00776EDE" w:rsidRDefault="008F44FD" w:rsidP="00776EDE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Полная информация об авторах доступна в конце статьи</w:t>
      </w:r>
      <w:r w:rsidR="00776EDE" w:rsidRPr="00776EDE">
        <w:rPr>
          <w:rFonts w:ascii="Times New Roman" w:hAnsi="Times New Roman"/>
          <w:kern w:val="0"/>
          <w:sz w:val="24"/>
          <w:szCs w:val="24"/>
        </w:rPr>
        <w:t>.</w:t>
      </w:r>
    </w:p>
    <w:p w:rsidR="00776EDE" w:rsidRPr="00776EDE" w:rsidRDefault="00776EDE" w:rsidP="00776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The Creative Commons 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Public Domain Dedication waiver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(</w:t>
      </w:r>
      <w:r w:rsidRPr="00776EDE">
        <w:rPr>
          <w:rFonts w:ascii="Times New Roman" w:hAnsi="Times New Roman" w:cs="Times New Roman"/>
          <w:color w:val="0000FF"/>
          <w:kern w:val="0"/>
          <w:sz w:val="24"/>
          <w:szCs w:val="24"/>
          <w:lang w:val="en-US"/>
        </w:rPr>
        <w:t>http://creativecommons.org/publicdomain/zero/1.0/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)</w:t>
      </w:r>
    </w:p>
    <w:p w:rsidR="00CA5AFB" w:rsidRPr="00776EDE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  <w:lang w:val="en-US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Введение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Благодаря развитию цифровых технологий и материаловедения последние несколько десятилетий в ортодонтии был достигнут значительный прогресс для осуществления более эффективного, точного, незаметного, комфортного и быстрого лечения [1–3]. Тем не менее,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lastRenderedPageBreak/>
        <w:t>ортодонты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продолжают сталкиваться с трудностями, связанными с состоянием твёрдых тканей зубов, пародонта, общего здоровья, а также механикой лечения, опорой и другими факторами, которые могут ограничивать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лечение [4]. Один из затруднительных вопросов, в котором не хватает доказательной базы,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касается  перемещения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зубов через верхнечелюстную пазуху (ВЧП).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ВЧП – это самая большая придаточная пазуха носа. Она расположена в теле верхней челюсти и тесно связана с окружающими структурами. Развивается поздно во внутриутробном периоде, достигая во время рождения размера около 3 х 6 х 8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мм,  и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далее растёт, принимая пирамидальную форму у взрослых [5–7]. Дно ВЧП представлено тонкой костной пластинкой, покрытой слоем слизистой. Со временем по мере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пневматизации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дно распространяется дистально к задней части альвеолярного отростка и формирует углубление, куда выступают корни зубов [5]. Обычно дно ВЧП находится на уровне дна полости носа в подростковом возрасте и достигает самой низкой точки во время прорезывания третьих моляров [5, 6]. Морфологически, соотношение пазуха-корень (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sinus-root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relationship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- SRR) можно разделить на 5 категорий: 0 - корни не контактируют с дном пазухи; 1 - дно ВЧП изогнуто вниз с контактом корней и дна; 2 - дно ВЧП изогнуто вниз с проекцией корней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латерально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от пазухи, но верхушки корней находятся вне неё; 3 - дно ВЧП изогнуто вниз с проекцией верхушек корней на полость пазухи; и 4 - дно ВЧП изогнуто вверх, корни некоторых или всех зубов входят в пазуху [8]. У людей с повышенной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пневматизацией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пазухи, чаще всего встречаются типы 1, 2, 3 и 4.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Классическая теория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перемещения зуба говорит о динамическом балансе костной резорбции на стороне давления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апозиции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кости на стороне натяжения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периодонтальной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связки [9]. Эта теория успешно применяется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ортодонтами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перемещения зубов в альвеолярной кости. Но применить данную теорию к ВЧП сложнее, так как зуб перемещается внутри кортикальной пластинки или мягких тканей [10]. Поэтому клиницисты часто опасаются неопределенности в вопросе перемещения зубов через пазуху. Тем не менее, недавние эксперименты обнаружили определенный биомеханический паттерн этого перемещения. Механическая нагрузка может вызывать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остеогенез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со стороны пазухи до того, как произойдет резорбция на стороне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периодонтальной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связки, и толщина кости стенок пазухи может сохраняться [11-13], что потенциально указывает на возможность движения зубов через пазуху. Кроме того, в данных экспериментах [11-13] показаны резорбция корней и высокая эффективность слабых сил.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Клиницист в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практике может столкнуться с необходимостью перемещений зубов через ВЧП. Например, при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дистализации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моляров или всего верхнего зубного ряда для коррекции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II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класса или для уменьшения выпуклости профиля. Это позволяет избежать удаления, и, как показывают некоторые исследования, успешно происходит при лечении прозрачными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элайнерами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[1, 9, 14]. Другими ситуациями, связанными с необходимостью перемещать зубы через ВЧП, являются закрытие промежутков в боковых отделах [15-17], интрузия зубов с целью создания места для протезирования антагонистов [18, 19], альтернативный нехирургический синус-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лифтинг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установки дентального имплантата [20-22]. Такое перемещение определяет возможности, длительность и качество комплексного лечения. В настоящее время ни одного систематического обзора по этой теме не доступно. Целью данного исследования является систематический обзор литературы и изучение возможности, безопасности и стабильности современных техник лечения для перемещения зубов через ВЧП.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Методы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Систематический обзор проведен с учетом рекомендаций для оформления систематических обзоров и мета-анализов (PRISMA)</w:t>
      </w:r>
      <w: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[23]. Поиск литературы, извлечение данных и оценка качества проводились независимо двумя исследователями. Любые разногласия решались обсуждением или консультацией с третьей стороной.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lastRenderedPageBreak/>
        <w:t>Критерии включения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Установили следующие критерии включения для определения подходящих исследований: </w:t>
      </w:r>
    </w:p>
    <w:p w:rsidR="00CA5AFB" w:rsidRDefault="008F44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Исследовались пациенты с как минимум одним перемещаемым зубом, который как минимум одним корнем выступал в ВПЧ. Морфология отношений пазуха-корень (тип 2, 3, или 4 для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мезиодистальных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перемещений и тип 1,2,3 или 4 для интрузии) должна была быть подтверждена рентгенологически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периапикальными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панорамными снимками или конусно-лучевой компьютерной томографией (КЛКТ); </w:t>
      </w:r>
    </w:p>
    <w:p w:rsidR="00CA5AFB" w:rsidRDefault="008F44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Проводилось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перемещение таких зубов через ВЧП; </w:t>
      </w:r>
    </w:p>
    <w:p w:rsidR="00CA5AFB" w:rsidRDefault="008F44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Первостепенными данными были параметры, касающиеся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лечения, включая его протокол, величину сил, тип перемещения, длительность и скорость перемещения,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ремоделяцию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альвеолярной кости и дна ВЧП. Во вторую очередь обращали внимание на стабильность и безопасность, включая резорбцию корней, вызванную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ортодонтическим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лечением, перфорацию дна пазухи (она должна быть подтверждена наличием синусита или рентгенологически: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периапикальными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панорамными снимками или КЛКТ, а слизистая пазухи изучена с помощью КТ/КЛКТ, МРТ или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эндоскопически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[5, 18, 19, 24–28].). Также анализировали потерю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витальности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пульпы, повреждение пародонта и рецидив. </w:t>
      </w:r>
    </w:p>
    <w:p w:rsidR="00CA5AFB" w:rsidRDefault="008F44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Исследование относится к группе клинических исследований, включая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рандомизированные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 клинические исследования, контролируемые клинические исследования,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когортные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исследования, исследования «случай-контроль», перекрёстные исследования и описания клинических случаев.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Стратегия поиска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Онлайн поиск проводился в электронных базах данных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PubMed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Embase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CENTRAL,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Web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of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Science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Chinese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Biomedical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Literature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Database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(CBM),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China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National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Knowledge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Infrastructure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(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CNKI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) без языковых ограничений. Поиск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«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серой</w:t>
      </w:r>
      <w:r w:rsidRPr="00AD6AC8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»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литературы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проводился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через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System for Information on Grey Literature in Europe (SIGLE).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Мы использовали поиск по медицинскому предметному указателю (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MeSH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) и свободному тексту. Ключевыми словами для всех баз данных были «верхнечелюстная пазуха», «ортодонтия», «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ортодонтический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», «движение зубов», «перемещение зубов». В списках литературных источников отобранных статей производился поиск дополнительных статей вручную. Поиск начался в январе 2017 и был обновлён 16 мая 2017. Стратегия поиска представлена в Таблице 1.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Извлечение данных и анализ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Из включенных исследований извлекалась информация об их характеристиках и результатах: страна, возраст, пол, размер выборки, соответствующие зубы, отношение пазуха-корень, источник силы и рентгенологический метод контроля. Параметры ранее указаны в критериях включения.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Таблица 1. Стратегия поиска во всех базах данных (обновлено 16 мая 2017)</w:t>
      </w: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2"/>
        <w:gridCol w:w="1326"/>
        <w:gridCol w:w="1414"/>
        <w:gridCol w:w="1308"/>
        <w:gridCol w:w="1058"/>
        <w:gridCol w:w="1245"/>
        <w:gridCol w:w="1246"/>
        <w:gridCol w:w="1370"/>
      </w:tblGrid>
      <w:tr w:rsidR="00CA5AFB">
        <w:trPr>
          <w:trHeight w:val="41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Шаг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PubMed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Embase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CENTRAL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Web of science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CNKI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CBM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SINGLE</w:t>
            </w:r>
          </w:p>
        </w:tc>
      </w:tr>
      <w:tr w:rsidR="00CA5AFB">
        <w:trPr>
          <w:trHeight w:val="12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«Верхнечелюстная пазуха»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[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Mesh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] (9226)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Верхнечелюстная пазуха.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proofErr w:type="gram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</w:t>
            </w:r>
            <w:proofErr w:type="gram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 xml:space="preserve"> или Верхнечелюстная пазуха/(14263)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Верхнечелюстная пазуха.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proofErr w:type="gram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</w:t>
            </w:r>
            <w:proofErr w:type="gram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или Верхнечелюстная пазуха/ (424)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Верхнечелюстная пазуха (21210)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Верхнечелюстная пазуха (8251)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«Верхнечелюстная пазуха» [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Mesh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] (3483)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Верхнечелюстная пазуха (26)</w:t>
            </w:r>
          </w:p>
        </w:tc>
      </w:tr>
      <w:tr w:rsidR="00CA5AFB">
        <w:trPr>
          <w:trHeight w:val="8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lastRenderedPageBreak/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Верхнечелюстная пазуха (15823)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</w:t>
            </w: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proofErr w:type="gram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</w:t>
            </w:r>
            <w:proofErr w:type="gram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Ортодонтический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/ (34932)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 xml:space="preserve">Ортодонтия. 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proofErr w:type="gram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</w:t>
            </w:r>
            <w:proofErr w:type="gram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Ортодонтический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/ (636)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 (29732)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 (12742)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Верхнечелюстная пазуха (7208)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 (85)</w:t>
            </w:r>
          </w:p>
        </w:tc>
      </w:tr>
      <w:tr w:rsidR="00CA5AFB">
        <w:trPr>
          <w:trHeight w:val="10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«Ортодонтия» [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Mesh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] (48362)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Ортодонтический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*.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 (51672)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Ортодонтический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*.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 (2402)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Ортодонтический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* (67283)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(1045)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«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Ортодонтический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, корректирующий» [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Mesh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] (11645)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Ортодонтия* (235)</w:t>
            </w:r>
          </w:p>
        </w:tc>
      </w:tr>
      <w:tr w:rsidR="00CA5AFB">
        <w:trPr>
          <w:trHeight w:val="8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 (63379)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 xml:space="preserve">Движение </w:t>
            </w:r>
            <w:proofErr w:type="gram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зубов.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.(</w:t>
            </w:r>
            <w:proofErr w:type="gram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 xml:space="preserve">Движение зубов. 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proofErr w:type="gram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</w:t>
            </w:r>
            <w:proofErr w:type="gram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или Движение Зубов/ (382)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(54506)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2 ИЛИ 3 (15616)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 (16725)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(14)</w:t>
            </w:r>
          </w:p>
        </w:tc>
      </w:tr>
      <w:tr w:rsidR="00CA5AFB">
        <w:trPr>
          <w:trHeight w:val="6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Ортодонтия*(62688)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 xml:space="preserve">Движение </w:t>
            </w:r>
            <w:proofErr w:type="gram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зубов.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  <w:lang w:val="en-US"/>
              </w:rPr>
              <w:t>mp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.(</w:t>
            </w:r>
            <w:proofErr w:type="gram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2970)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2 ИЛИ 3 ИЛИ 4 (2423)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(59130)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 ИЛИ 4 (23)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«Движение зубов» [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Mesh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] (1104)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(3)</w:t>
            </w:r>
          </w:p>
        </w:tc>
      </w:tr>
      <w:tr w:rsidR="00CA5AFB">
        <w:trPr>
          <w:trHeight w:val="8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«Техники перемещения зубов» [</w:t>
            </w:r>
            <w:proofErr w:type="spellStart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Mesh</w:t>
            </w:r>
            <w:proofErr w:type="spellEnd"/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] (7834)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2 ИЛИ 3 ИЛИ 4 ИЛИ 5 (52143)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 ИЛИ 5 (1)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2 ИЛИ 3 ИЛИ 4 ИЛИ 5 (157498)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(2280)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2 ИЛИ 3 ИЛИ 4 ИЛИ 5 (245)</w:t>
            </w:r>
          </w:p>
        </w:tc>
      </w:tr>
      <w:tr w:rsidR="00CA5AFB">
        <w:trPr>
          <w:trHeight w:val="4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(10981)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 ИЛИ 6 (125)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 ИЛИ 6 (305)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 ИЛИ 2 (7208)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 ИЛИ 6 (0)</w:t>
            </w:r>
          </w:p>
        </w:tc>
      </w:tr>
      <w:tr w:rsidR="00CA5AFB">
        <w:trPr>
          <w:trHeight w:val="6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Движение зубов (327)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3 ИЛИ 4 ИЛИ 5 ИЛИ 6 (18312)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</w:tr>
      <w:tr w:rsidR="00CA5AFB">
        <w:trPr>
          <w:trHeight w:val="4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 ИЛИ 2 (15823)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7 ИЛИ 8 (28)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</w:tr>
      <w:tr w:rsidR="00CA5AFB">
        <w:trPr>
          <w:trHeight w:val="8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3 ИЛИ 4 ИЛИ 5 ИЛИ 6 ИЛИ 7 ИЛИ 8 (71532)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</w:tr>
      <w:tr w:rsidR="00CA5AFB">
        <w:trPr>
          <w:trHeight w:val="40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8F44FD">
            <w:pPr>
              <w:spacing w:after="0" w:line="240" w:lineRule="auto"/>
            </w:pPr>
            <w:r>
              <w:rPr>
                <w:rFonts w:ascii="Times New Roman" w:hAnsi="Times New Roman"/>
                <w:color w:val="131413"/>
                <w:kern w:val="0"/>
                <w:sz w:val="18"/>
                <w:szCs w:val="18"/>
                <w:u w:color="131413"/>
              </w:rPr>
              <w:t>9 ИЛИ 10 (195)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AFB" w:rsidRDefault="00CA5AFB"/>
        </w:tc>
      </w:tr>
    </w:tbl>
    <w:p w:rsidR="00CA5AFB" w:rsidRDefault="00CA5A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u w:color="131413"/>
          <w:shd w:val="clear" w:color="auto" w:fill="FFFFFF"/>
        </w:rPr>
      </w:pPr>
      <w:r>
        <w:rPr>
          <w:rFonts w:ascii="Times New Roman" w:hAnsi="Times New Roman"/>
          <w:color w:val="131413"/>
          <w:kern w:val="0"/>
          <w:u w:color="131413"/>
          <w:lang w:val="en-US"/>
        </w:rPr>
        <w:t>CENTRAL</w:t>
      </w:r>
      <w:r>
        <w:rPr>
          <w:rFonts w:ascii="Times New Roman" w:hAnsi="Times New Roman"/>
          <w:color w:val="131413"/>
          <w:kern w:val="0"/>
          <w:u w:color="131413"/>
        </w:rPr>
        <w:t xml:space="preserve"> - </w:t>
      </w:r>
      <w:proofErr w:type="spellStart"/>
      <w:r>
        <w:rPr>
          <w:rFonts w:ascii="Times New Roman" w:hAnsi="Times New Roman"/>
          <w:color w:val="131413"/>
          <w:kern w:val="0"/>
          <w:u w:color="131413"/>
        </w:rPr>
        <w:t>кокрейновский</w:t>
      </w:r>
      <w:proofErr w:type="spellEnd"/>
      <w:r>
        <w:rPr>
          <w:rFonts w:ascii="Times New Roman" w:hAnsi="Times New Roman"/>
          <w:color w:val="131413"/>
          <w:kern w:val="0"/>
          <w:u w:color="131413"/>
        </w:rPr>
        <w:t xml:space="preserve"> центральный регистр контролируемых исследований; </w:t>
      </w:r>
      <w:r>
        <w:rPr>
          <w:rFonts w:ascii="Times New Roman" w:hAnsi="Times New Roman"/>
          <w:color w:val="131413"/>
          <w:kern w:val="0"/>
          <w:u w:color="131413"/>
          <w:lang w:val="en-US"/>
        </w:rPr>
        <w:t>CNKI</w:t>
      </w:r>
      <w:r>
        <w:rPr>
          <w:rFonts w:ascii="Times New Roman" w:hAnsi="Times New Roman"/>
          <w:color w:val="131413"/>
          <w:kern w:val="0"/>
          <w:u w:color="131413"/>
        </w:rPr>
        <w:t xml:space="preserve"> - Китайская национальная платформа знаний, </w:t>
      </w:r>
      <w:r>
        <w:rPr>
          <w:rFonts w:ascii="Times New Roman" w:hAnsi="Times New Roman"/>
          <w:color w:val="131413"/>
          <w:kern w:val="0"/>
          <w:u w:color="131413"/>
          <w:lang w:val="en-US"/>
        </w:rPr>
        <w:t>CBM</w:t>
      </w:r>
      <w:r>
        <w:rPr>
          <w:rFonts w:ascii="Times New Roman" w:hAnsi="Times New Roman"/>
          <w:color w:val="131413"/>
          <w:kern w:val="0"/>
          <w:u w:color="131413"/>
        </w:rPr>
        <w:t xml:space="preserve"> - База данных китайской биомедицинской литературы, </w:t>
      </w:r>
      <w:r>
        <w:rPr>
          <w:rFonts w:ascii="Times New Roman" w:hAnsi="Times New Roman"/>
          <w:color w:val="131413"/>
          <w:kern w:val="0"/>
          <w:u w:color="131413"/>
          <w:lang w:val="en-US"/>
        </w:rPr>
        <w:t>SINGLE</w:t>
      </w:r>
      <w:r w:rsidRPr="00AD6AC8">
        <w:rPr>
          <w:rFonts w:ascii="Times New Roman" w:hAnsi="Times New Roman"/>
          <w:color w:val="131413"/>
          <w:kern w:val="0"/>
          <w:u w:color="131413"/>
        </w:rPr>
        <w:t xml:space="preserve"> -</w:t>
      </w:r>
      <w:r>
        <w:rPr>
          <w:rFonts w:ascii="Times New Roman" w:hAnsi="Times New Roman"/>
          <w:color w:val="131413"/>
          <w:kern w:val="0"/>
          <w:u w:color="131413"/>
        </w:rPr>
        <w:t xml:space="preserve"> система информации о «серой» литературе в Европе. </w:t>
      </w:r>
      <w:proofErr w:type="spellStart"/>
      <w:r>
        <w:rPr>
          <w:rFonts w:ascii="Times New Roman" w:hAnsi="Times New Roman"/>
          <w:color w:val="131413"/>
          <w:kern w:val="0"/>
          <w:u w:color="131413"/>
          <w:shd w:val="clear" w:color="auto" w:fill="FFFFFF"/>
          <w:lang w:val="en-US"/>
        </w:rPr>
        <w:t>mp</w:t>
      </w:r>
      <w:proofErr w:type="spellEnd"/>
      <w:r>
        <w:rPr>
          <w:rFonts w:ascii="Times New Roman" w:hAnsi="Times New Roman"/>
          <w:color w:val="131413"/>
          <w:kern w:val="0"/>
          <w:u w:color="131413"/>
          <w:shd w:val="clear" w:color="auto" w:fill="FFFFFF"/>
        </w:rPr>
        <w:t xml:space="preserve">.- </w:t>
      </w:r>
      <w:r>
        <w:rPr>
          <w:rFonts w:ascii="Times New Roman" w:hAnsi="Times New Roman"/>
          <w:color w:val="131413"/>
          <w:kern w:val="0"/>
          <w:u w:color="131413"/>
          <w:shd w:val="clear" w:color="auto" w:fill="FFFFFF"/>
          <w:lang w:val="en-US"/>
        </w:rPr>
        <w:t>multipurpose</w:t>
      </w:r>
      <w:r>
        <w:rPr>
          <w:rFonts w:ascii="Times New Roman" w:hAnsi="Times New Roman"/>
          <w:color w:val="131413"/>
          <w:kern w:val="0"/>
          <w:u w:color="131413"/>
          <w:shd w:val="clear" w:color="auto" w:fill="FFFFFF"/>
        </w:rPr>
        <w:t xml:space="preserve"> = «все разделы»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 xml:space="preserve">Таблица 2.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Характеристики включённых клинических случаев.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SRR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- соотношение пазуха-корень; МИ -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микроимплант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; КЛКТ - компьютерная конусно-лучевая томография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>(см</w:t>
      </w:r>
      <w:r w:rsidR="001D7D6F"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>.  таблицу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 xml:space="preserve"> в</w:t>
      </w:r>
      <w:r w:rsidR="001D7D6F"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 xml:space="preserve"> приложении № 1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>)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Таблица 3.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Результаты 9 включённых клинических случаев.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SRR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- соотношение пазуха-корень, Перемещаемое расстояние – расстояние, на которое зуб переместили через верхнечелюстную пазуху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>(см</w:t>
      </w:r>
      <w:r w:rsidR="001D7D6F"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>. таблицу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 xml:space="preserve"> в</w:t>
      </w:r>
      <w:r w:rsidR="001D7D6F"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 xml:space="preserve"> приложении № 2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00FF00"/>
        </w:rPr>
        <w:t>)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Результаты</w:t>
      </w: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Характеристики включенных исследований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Онлайн поиск обнаружил 677 статей. После чтения заголовков и аннотаций были исключены дубликаты и нерелевантные работы, осталось 11 полнотекстовых статей. Далее изучили список литературы данных публикаций, и одно исследование из этого списка также было включено в обзор. Не было найдено ни одного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проспективного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или ретроспективного контролируемого клинического исследования. Описания 9 клинических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lastRenderedPageBreak/>
        <w:t>случаев удовлетворяли критериям включения и были подвергнуты систематическому анализу (Рис.1). Характеристики описаний 9 клинических случаев представлены в Таблице 2.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Результаты оценки качества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Все включенные исследования являлись описанием клинических случаев и, соответственно, имели высокий риск систематической ошибки.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Анализ результатов исследований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В общей сложности изучались девять пациентов с 25 исследуемыми зубами. Все зубы относились к типу 2, 3 или 4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SRR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(Таблица 3).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Протокол и величина сил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Cacciafesta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[17] использовали сегментную механику для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мезиализации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зубов 27 и 28 пружиной силой 50 г.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Re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[22] использовали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эндооссальные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имплантаты в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ретромолярной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области и Т-образную петлю для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дистализации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25 зуба, активная нагрузка составляла 50 г. В статье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Kravitz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[18] зуб 16 первые 2 месяца внедряли с помощью эластической цепочки силой 100 г и следующие 4 месяца - пружиной 150 г. к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микроимпланту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Yao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[19] также использовали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минивинт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интрузии соседних моляров (27 и 26) эластической цепочкой силой 150-200 г.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Kuroda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[14] проводили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дистализацию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верхнего зубного ряда, используя полную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брекет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-систему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микроимплантаты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опоры, 9 зубов (суммарно с обеих сторон) перемещались через ВЧП пружинами силой 200 г.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Oh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[16], Park et al. [15], </w:t>
      </w:r>
      <w:proofErr w:type="spellStart"/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Saglam</w:t>
      </w:r>
      <w:proofErr w:type="spellEnd"/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et al. [21]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и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</w:t>
      </w:r>
      <w:proofErr w:type="spellStart"/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Carvalho</w:t>
      </w:r>
      <w:proofErr w:type="spellEnd"/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et al.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[20]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дистализировали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мезиализировали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верхние зубы через ВЧП на полной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брекет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-системе (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микроимплантаты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использовались только в статье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Park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.). В этих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работах  применялись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«слабые силы» или «от слабых до средних сил». В основном для перемещения зубов через ВЧП использовались лёгкие или средние силы (50-200 г).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Тип перемещения зубов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В общей сложности 7 статей посвящены перемещению зубов через ВЧП в сагиттальном направлении [14–17, 20–22] и 2 работы – интрузии моляров в ВЧП, соответственно, в вертикальном направлении [18, 19]. Сагиттальные перемещения все авторы описывают как корпусное движение зубов [14–22]. Но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Cacciafesta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[17], Re et al. [22], Oh et al. [16], Park et al. [15]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и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Kuroda et al.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[14] выяснили, что это поступательное движение по сути состоит из постоянного чередования изначального наклона и последующего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апрайтинга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Saglam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[21]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Carvalho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[20] говорят в своей статье о корпусной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дистализации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второго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премоляра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но без объяснения деталей.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Yao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описывают интрузию моляров 27 и 26 в ВЧП с лёгким дистальным наклоном</w:t>
      </w:r>
      <w: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[19], а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Kravitz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описывают интрузию 16 зуба с наклоном коронки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нёбно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[18].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Продолжительность и величина перемещений зубов.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Re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перемещали зуб 25 на 6 мм дистально в течение 6 месяцев [22].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Oh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описывают перемещение 25 зуба дистально на 5 мм, 28 зуба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мезиально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на 10 мм и встречное движение зубов 15 и 17 на 10 мм в течение 70 месяцев [16]. Подобное перемещение зубов 14 и 16 на 2-3 мм и зубов 24 и 26 на 1-2 мм заняло 30 месяцев в статье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Park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[15].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Carvalho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дистализировали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зуб 15 на 7 мм за 6 месяцев [20]. Также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Kuroda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осуществили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дистализацию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верхнего зубного ряда на 4 мм за 28 месяцев [14]. Если говорить про вертикальное направление,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Yao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Kravitz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проводили интрузию моляров на 3 мм за 5 месяцев и на 4.4 мм за 6 месяцев соответственно [18, 19]. В общей сложности темп интрузии моляров в ВЧП в отдельных случаях оценивают, как 0.6 – 0.7 мм/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мес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скорость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мезиодистальных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перемещений как 0.16-0.17 мм/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мес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премоляров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 0.05 – 0.16 мм/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мес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для моляров.</w:t>
      </w:r>
    </w:p>
    <w:p w:rsidR="00CA5AFB" w:rsidRDefault="00CA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Образование альвеолярной кости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ремоделяция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дна пазухи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Re et al. [22], </w:t>
      </w:r>
      <w:proofErr w:type="spellStart"/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Saglam</w:t>
      </w:r>
      <w:proofErr w:type="spellEnd"/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et al.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[21],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Carvalho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[20]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дистализировали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вторые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премоляры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через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пневматизированную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ВЧП в альвеолярную кость. Образование альвеолярной кости произошло в направлении движения вместе с прямой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ремоделяцией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кортикальной пластинки пазухи и синус-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лифтингом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Позже в изначальную позицию вторых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премоляров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были установлены имплантаты. Аналогично образование альвеолярной кости наблюдалось в исследовании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Cacciafesta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[17]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Oh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[16], признаки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стенки синуса также наблюдались в работе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Oh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Относительно интрузии моляров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Yao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Kravitz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обнаружили, что твёрдая пластинка (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lamina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dura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)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следует по направлению интрузии моляров.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Ремоделяцию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кости во время интрузии также отметили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Yao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[18, 19].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Безопасность и побочные эффекты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Радиографические доказательства корневой резорбции, вызванной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ортодонтическим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лечением (OIRR) представлены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Cacciafesta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[17],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Park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[15]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Carvalho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[20], в то время как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Kravitz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[18],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Oh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[16] и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Kuroda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[14] не сообщают о значимой 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резорбции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Во всех 9 случаях не наблюдалось перфораций дна пазухи или потери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витальности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пульпы [14–22]. </w:t>
      </w:r>
      <w:proofErr w:type="spellStart"/>
      <w:r w:rsidRPr="00AD6AC8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Cacciafesta</w:t>
      </w:r>
      <w:proofErr w:type="spellEnd"/>
      <w:r w:rsidRPr="00AD6AC8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et al., Re et al., Oh et al.,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и</w:t>
      </w:r>
      <w:r w:rsidRPr="00AD6AC8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</w:t>
      </w:r>
      <w:proofErr w:type="spellStart"/>
      <w:r w:rsidRPr="00AD6AC8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Saglam</w:t>
      </w:r>
      <w:proofErr w:type="spellEnd"/>
      <w:r w:rsidRPr="00AD6AC8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et al.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[16, 17, 21, 22] проводили стандартные контрольные измерения состояния пародонта и сообщили, что костная поддержка и здоровье пародонта не изменились. Такие же результаты получили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Yao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[19].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Стабильность и рецидив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Oh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[16], Park et al. [15]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и</w:t>
      </w:r>
      <w:r w:rsidRPr="00776EDE"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 xml:space="preserve"> Kuroda et al.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[14] говорят о стабильности окклюзии через 1.5 года, 1 год и 5 лет наблюдений соответственно. Состояние пародонта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витальность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зубов остались прежними в случае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Yao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[19].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Saglam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et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al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говорят о приемлемом состоянии тканей полости рта после 2 лет [21].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Обсуждение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Целью систематического обзора является определение возможности, безопасности перемещения зубов через верхнечелюстную пазуху (ВЧП). Были проанализированы описания 9 клинических случаев. В целом, данные исследования показывают возможность такого перемещения. Но сложность процесса перемещения значительно варьирует, что, возможно, говорит о гетерогенности клинических манипуляций и анатомических структур, а также присущей описанию клинических случаев систематической ошибке.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Для перемещения зубов через ВЧП желательно корпусное движение. Ключевая цель биомеханики – равномерное распределение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силы по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периодонтальной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связке и её прохождение через центр сопротивления [29, 30]. Тщательно продуманная сегментная механика или использование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микроимплантов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помогают приблизительно определить систему силы и способствовать корпусному перемещению [9, 17, 31, 32]. Учитывая вариативность анатомии ВЧП и её отношения с корнями верхних зубов [8], необходим тщательный контроль во всех плоскостях, особенно у пациентов с изначальными жалобами, касающимися этой области. Для достижения перемещения за счёт фронтальной резорбции рекомендуется действовать небольшими постоянными силами (35-60 г, 70-120 г и 10-20 г для наклона, корпусного перемещения и интрузии, соответственно). Но, с учетом наличия трения при скользящей механике [9, 30], угасания силы и числа корней боковых зубов, величина прилагаемой силы в 50- 200 г также</w:t>
      </w:r>
      <w: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может считаться безопасной.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В данном исследовании большинство случаев показывали изначальное наклонное движение в пазухе, что совпадает с данными предыдущей публикации [33]. Отклонение от идеального корпусного перемещения может являться воспроизведением чистой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lastRenderedPageBreak/>
        <w:t>Ньютоновской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системы сил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in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vivo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в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периодонтальной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связке.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Ортодонтические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силы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FFFFFF"/>
        </w:rPr>
        <w:t xml:space="preserve">возникают при деформации упругих элементов системы, но каждый элемент имеет свой модуль упругости, тлим образом, скорость ослабевания моментов сил и моментов пары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  <w:shd w:val="clear" w:color="auto" w:fill="FFFFFF"/>
        </w:rPr>
        <w:t xml:space="preserve">на противоположных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участков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приложения силы в равновесной системе не одинакова, и соответственно, соотношение момент</w:t>
      </w:r>
      <w:r w:rsidRPr="00AD6AC8"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/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сила меняется, вызывая постоянные изменения центра вращения и осложняя сохранение корпусного перемещения [34]. Более того, в ВЧП необходимо учитывать распределение плотности кости вдоль оси зуба. Корональная часть корня вероятнее движется через губчатую кость, а апикальная часть скорее перемещается через кортикальную [9]. Поэтому зуб легко наклоняется по направлению движения. Более того, для интрузии моляров, сопутствующий наклон может быть индикатором разницы сопротивления в области разных корней [19].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Необходимым условием для компенсаторной регенерации кости является медленная скорость перемещения [16, 35]. Лучшей стратегией её достижения является применение постоянных слабых сил. В частности, «эффект бочки» при движении зубов через ВЧП происходит скорее всего из-за кортикальной опоры [9].  В случае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Oh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et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al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контакт корней с кортикальной пластинкой пазухи обеспечивал практически абсолютную опору на протяжении первых 3.5 лет [16]. В таком случае, лишь лёгкие силы уместны, так как большие усилия против кортикальной пластинки только увеличат сопротивление и вызовут дополнительную резорбцию корней. Конечно, здесь следует учитывать индивидуальные особенности, так как больше ни один автор не описал такую экстремальную ситуацию, хотя все случаи показывают широкий диапазон показателей.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Согласно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теории перемещения зубов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возможно создать новую физиологичную кость по ходу движения зуба [9, 36]. За прошедшие десятилетия получение места для имплантации за счёт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перемещения зубов показало хорошие практические результаты [36]. В некоторых случаях эта техника успешно применялась и в области ВЧП [20–22]. Беспокойство вызывает только сохранение целостности слизистой оболочки дна пазухи. Во время хирургической аугментации дно пазухи одномоментно поднимается механически за счёт добавления трансплантата или костных блоков [37–38]. Это говорит о прочности и репарационных возможностях дна пазухи, которое вполне может адаптироваться к медленному и плавному движению зубов. Кроме того, недавние исследования показали, что во время нагрузки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апозиция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кости на стороне пазухи предшествует резорбции на стороне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периодонтальной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связки, и количество костной ткани в стенке пазухи остаётся прежним или уменьшается. Этот механизм может частично отвечать за костную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ремоделяцию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дна пазухи [11, 12].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На данный момент этиология резорбции корней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во время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лечения не выяснена. Тем не менее, полное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лечение, в особенности, с применением больших сил, несомненно, усиливает вероятность и тяжесть корневой резорбции [39]. Движение зубов через кортикальную пластинку также, видимо, вызывает значимую резорбцию корней, но серьёзные резорбции не описаны ни в одном из включенных исследований, возможно, из-за применения лёгких сил.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Однако,  отсутствие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 доказательств серьёзной корневой резорбции в некоторых случаях может свидетельствовать о недостаточном рентгенологическом контроле [18, 19, 22]. С одной стороны, имеется гистерезис между гистологическими и радиографическими изменениями, то есть, ранние признаки резорбции могут быть увидены на рентгенограмме лишь спустя 6-12 месяцев [39]. С другой стороны, хотя панорамные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периапикальные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снимки и делались в большинстве случаев [14, 17-22], их диагностическая ценность может быть недостаточной [39, 40]. Для ретенции на верхней челюсти использовались съёмные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ретенционные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пластинки или несъемные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ретейнеры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Также рядом с перемещенными зубами или напротив них (в позиции антагониста) были установлены имплантаты с последующим протезированием. Все эти факторы способствуют хорошей ретенции и стабильности после перемещения в области ВЧП.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lastRenderedPageBreak/>
        <w:t>Ограничения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В настоящее время не достигнуто полного понимания процесса перемещения зубов через ВЧП. Во-первых,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проспективные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контролируемые клинические исследования с большой выборкой недоступны, поэтому оптимальный протокол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лечения так и не создан. Во-вторых, техники, используемые для оценки отношения пазухи с корнями и корневой резорбции в ходе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лечения, а также перфораций дна пазухи имеют низкую точность [41], а использование панорамных и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периапикальных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снимков может привести к систематической ошибке выборки или результатов. Компьютерная томография может быть альтернативным методом для повышения точности [8, 24, 25, 40, 42]. В-третьих, фундаментальные исследования, симулирующие перемещения зубов через ВЧП, не обязательно являются достоверными. Хотя данные недавних исследований частично совпадают с результатами некоторых клинических исследований [11–13], в них проводилось только двухнедельное наблюдение на мышах. Результаты не полностью совпадали с долгосрочными находками предыдущих результатов биопсии у людей, в которых на стороне пазухи наблюдались остеокласты и очевидная резорбция твёрдой пластинки [41]. Поэтому необходимо проводить больше фундаментальных исследований с совместимыми моделями для подтверждения этих результатов. Наконец, </w:t>
      </w:r>
      <w:proofErr w:type="gram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во время</w:t>
      </w:r>
      <w:proofErr w:type="gram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ортодонтического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движения зубов некоторые побочные эффекты, такие как сильная корневая резорбция, костная перфорация и перфорация пазухи могут быть за пределами контроля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ортодонта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. Их невозможно обнаружить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макроскопически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или рентгенологически, только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гистологически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Клиницист должен поставить точный диагноз с учетом анатомии перед началом лечения, чётко придерживаться протокола и проводить оценку прогресса по ходу лечения [39–41].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Выводы</w:t>
      </w:r>
    </w:p>
    <w:p w:rsidR="00CA5AFB" w:rsidRDefault="008F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На данном этапе невозможно порекомендовать какой-либо доказательный протокол перемещения зубов через ВЧП. Эмпирическое применение постоянных легких и средних сил (приложенных с помощью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минивинтов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, частичной или полной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брекет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-системы) для медленного перемещения зубов через или в верхнечелюстную пазуху у взрослых кажется возможным и безопасным. Корпусное движение осуществимо, но зубам, кажется, проще сначала наклониться, что потенциально может привести к корневой резорбции. Тем не менее, этот вывод должен быть принят с осторожностью, так как доступные в настоящее время доказательства представляют собой лишь описания нескольких клинических случаев или серию случаев, а 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лонгитюдных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и контролируемых исследований в этой области не хватает. </w:t>
      </w:r>
    </w:p>
    <w:p w:rsidR="00CA5AFB" w:rsidRDefault="00CA5AF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 xml:space="preserve">Сокращения 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КЛКТ: конусно-лучевая компьютерная томография; ВЧП: верхнечелюстная пазуха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Финансирование</w:t>
      </w:r>
    </w:p>
    <w:p w:rsidR="00CA5AFB" w:rsidRDefault="008F4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Национальный фонд естественных наук Китая (</w:t>
      </w:r>
      <w:proofErr w:type="spellStart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Nos</w:t>
      </w:r>
      <w:proofErr w:type="spellEnd"/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. 81470722 и 81201379) поддерживал разработку исследования, сбор, анализ и интерпретацию данных, написание и публикацию статьи.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Доступность данных и материалов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Резюме извлеченных данных исследования доступно по запросу автору-корреспонденту.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Вклад авторов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WS, KX, JL проводили поиск данных, извлечение, оценку, статистический анализ и черновик статьи. XH делал рисунки и таблицы. XC, QL организовали структуру манускрипта и редактировали язык. WS и JL разработали исследование и проверяли работу. Все авторы прочитали и одобрили финальную версию.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Этическое одобрение и согласие участников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Не применимо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Конфликт интересов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>Авторы заявляют об отсутствии конфликта интересов.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Заметка издателя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Springer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  <w:lang w:val="en-US"/>
        </w:rPr>
        <w:t>Nature</w:t>
      </w:r>
      <w:r>
        <w:rPr>
          <w:rFonts w:ascii="Times New Roman" w:hAnsi="Times New Roman"/>
          <w:color w:val="131413"/>
          <w:kern w:val="0"/>
          <w:sz w:val="24"/>
          <w:szCs w:val="24"/>
          <w:u w:color="131413"/>
        </w:rPr>
        <w:t xml:space="preserve"> сохраняет нейтралитет по отношению к судебным требованиям в отношении публикуемых карт и принадлежности к институтам.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color w:val="131413"/>
          <w:kern w:val="0"/>
          <w:sz w:val="24"/>
          <w:szCs w:val="24"/>
          <w:u w:color="131413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31413"/>
          <w:kern w:val="0"/>
          <w:sz w:val="24"/>
          <w:szCs w:val="24"/>
          <w:u w:color="131413"/>
        </w:rPr>
      </w:pPr>
      <w:r>
        <w:rPr>
          <w:rFonts w:ascii="Times New Roman" w:hAnsi="Times New Roman"/>
          <w:b/>
          <w:bCs/>
          <w:color w:val="131413"/>
          <w:kern w:val="0"/>
          <w:sz w:val="24"/>
          <w:szCs w:val="24"/>
          <w:u w:color="131413"/>
        </w:rPr>
        <w:t>Об авторах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vertAlign w:val="superscript"/>
        </w:rPr>
        <w:t>1</w:t>
      </w:r>
      <w:r>
        <w:rPr>
          <w:rFonts w:ascii="Times New Roman" w:hAnsi="Times New Roman"/>
          <w:kern w:val="0"/>
          <w:sz w:val="24"/>
          <w:szCs w:val="24"/>
        </w:rPr>
        <w:t xml:space="preserve"> Государственная лаборатория болезней полости рта, Национальный центр клинических исследований болезней полости рта, Отделение ортодонтии, Госпиталь стоматологии Западного Китая,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Сычуаньский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университет, Чэнду 610041, Китай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color w:val="131413"/>
          <w:kern w:val="0"/>
          <w:sz w:val="24"/>
          <w:szCs w:val="24"/>
          <w:u w:color="131413"/>
          <w:vertAlign w:val="superscript"/>
        </w:rPr>
        <w:t>2</w:t>
      </w:r>
      <w:r>
        <w:rPr>
          <w:rFonts w:ascii="Times New Roman" w:hAnsi="Times New Roman"/>
          <w:kern w:val="0"/>
          <w:sz w:val="24"/>
          <w:szCs w:val="24"/>
        </w:rPr>
        <w:t xml:space="preserve">Государственная лаборатория болезней полости рта, Национальный центр клинических исследований болезней полости рта, Отделение ортодонтии, Госпиталь стоматологии Западного Китая,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Сычуаньский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университет, Чэнду 610041, Китай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Получено: 30 января 2018 Одобрено: 17 мая 2018</w:t>
      </w:r>
    </w:p>
    <w:p w:rsidR="00CA5AFB" w:rsidRDefault="008F44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Опубликовано онлайн: 23 мая 2018</w:t>
      </w:r>
    </w:p>
    <w:p w:rsidR="00CA5AFB" w:rsidRDefault="00CA5A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A5AFB" w:rsidRPr="00776EDE" w:rsidRDefault="008F44FD" w:rsidP="00CB7F0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76EDE">
        <w:rPr>
          <w:rFonts w:ascii="Times New Roman" w:hAnsi="Times New Roman" w:cs="Times New Roman"/>
          <w:b/>
          <w:bCs/>
          <w:kern w:val="0"/>
          <w:sz w:val="24"/>
          <w:szCs w:val="24"/>
        </w:rPr>
        <w:t>Список литературы: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1. Rossini G,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Parrini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Castroflorio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Deregibu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Debernardi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CL. Efficacy of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clear aligners in controlling orthodont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ic tooth movement: a systematic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review. Angle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2015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;85:881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–9.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2. Rossini G,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Parrini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Castroflorio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Deregibus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Deberna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rdi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CL.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Diagnostic accuracy and measurement se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nsitivity of digital models for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orthodontic purposes: a systemat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ic review. Am J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;149:161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–70.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Cassetta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Giansanti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Di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Mambro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Calasso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S,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Barbato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E. Minimally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invasive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corticotomy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in orthodontics us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ing a three-dimensional printed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CAD/CAM surgical guide.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Int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J Oral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Maxillofac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Surg. 2016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;45:1059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–64.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4.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Melsen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B. Adult orthodontics. 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1st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ed. UK: Wiley-Blackwell; 2012. p. 382–3.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5. von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Arx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Lozanoff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S. Maxillary sinus clinical oral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anatomy: a comprehensive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review for dental practitioners and researcher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s. Cham: Springer International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Publishing; 2017. p. 163–97.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6. Matsuda H,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Borzabadi-Farahani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Le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BT. 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Three-dimensional alveolar bone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anatomy of the maxillary first molars: a cone-be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am computed tomography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study with implications for immediate i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mplant placement. Implant Dent.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2016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;25:367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–72.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7.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Ahn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NL, Park HS. Differences in distances b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etween maxillary posterior root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apices and the sinus floor according to skeletal pattern. Am J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2017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;152:811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–9.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8. Sharan A,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Madjar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D. Correlation between m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axillary sinus floor topography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and related root position of posterior teeth usi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ng panoramic and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crosssectional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computed tomography imaging.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Oral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Surg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Oral Med Oral </w:t>
      </w:r>
      <w:proofErr w:type="spell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Pathol</w:t>
      </w:r>
      <w:proofErr w:type="spell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Oral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Radiol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Endod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2006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;102:375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–81.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9.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Proffit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WR, Fields HW Jr, Sarver DM. Contem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porary orthodontics. </w:t>
      </w:r>
      <w:proofErr w:type="gramStart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4th</w:t>
      </w:r>
      <w:proofErr w:type="gramEnd"/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ed. St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Louis: C.V. Mosby; 2007. p. 287-300–331–430.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10.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Wehrbein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H,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Diedrich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P. The initial mor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phological state in the basally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pneumatized maxillary sinus–a radiological-histological study in man.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Fortschr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Kieferorthop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1992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;53:254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–62.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11. Maeda Y, Kuroda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Ganzorig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K,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Wazen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Nanci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Tanaka E.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Histomorphometric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analysis of overloading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on palatal tooth movement into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the maxillary sinus. Am J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2015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;148:423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–30.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12. Kuroda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Wazen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R, Moffatt P, Tanaka E,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Nan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ci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A. Mechanical stress induces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bone formation in the maxillary sinus in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 short-term mouse model.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Clin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Oral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Investig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2013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;17:131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–7.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lastRenderedPageBreak/>
        <w:t xml:space="preserve">13.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Daimaruya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T, Takahashi I,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Nagasaka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H,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U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memori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Sugawara J,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Mitani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H.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Effects of maxillary molar intrusion on the 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asal floor and tooth root using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the skeletal anchorage system in dogs. Angle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2003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;73:158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–66.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14. Kuroda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Hichijo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N, Sato M, Mino A,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Tamamura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N, Iwata M, et al. Long-te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rm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stability of maxillary group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distalization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with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interradicular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miniscrews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in a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patient with a class II division 2 mal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occlusion. Am J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;149:912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–22.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15. Park JH, Tai K,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Kanao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Takagi M. Space closure in the maxillary posterior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area through the maxillary sinus. Am J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thod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2014</w:t>
      </w:r>
      <w:proofErr w:type="gram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;145</w:t>
      </w:r>
      <w:proofErr w:type="gram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: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95–102.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16. Oh H,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Herchold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K, Hannon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Heetlan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K, Ashraf G, Nguyen V, et al.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Orthodontic tooth movement through the m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axillary sinus in an adult with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multiple missing teeth. Am J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2014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;146:493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–505.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17.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Cacciafesta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V,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Melsen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B. Mesial bodily movem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ent of maxillary and mandibular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molars with segmented mechanics.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Clin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Res. 2001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;4:182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–8.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18.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Kravitz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ND,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Kusnoto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B,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Tsay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PT,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Hohlt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WF.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Intrusion of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overerupted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upper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first molar using two orthodontic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miniscrew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. A case report. Angle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2007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;77:915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–22.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19. Yao CC, Wu CB, Wu HY,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Kok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SH, Chan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g HF, Chen YJ. Intrusion of the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overerupted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upper left first and second molars by mini-impl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ants with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partialfixed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orthodontic appliances: a case report. Angle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2004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;74:550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–7.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20.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Savi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de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Carvalho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Consolaro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Francis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chone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CE Jr, de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Macedo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Carvalho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AP. Sinus augmentation by orthodontic 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movement as an alternative to a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surgical sinus lift: a clinical report. J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Prosthet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Dent. 2014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;112:723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–6.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21.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Saglam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Akman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Malkoc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Hakki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SS. Modifi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cation of maxillary sinus floor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with orthodontic treatment and implant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therapy: a case letter. J Oral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Implantol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2014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;40:619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–22.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22. Re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Cardaropoli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D,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Corrente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G,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Abundo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R. Bodily tooth movement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through the maxillary sinus with imp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lant anchorage for single tooth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replacement.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Clin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Res. 2001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;4:177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–81.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23. Moher D,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Liberati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A,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Tetzlaff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J, Altman DG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. Preferred reporting items for systematic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reviews and meta-analyses: t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he PRISMA statement.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Bmj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. 2009;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339:b2535.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24.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Shanbhag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Karnik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Shirke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P,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Shanbhag</w:t>
      </w:r>
      <w:proofErr w:type="spellEnd"/>
      <w:proofErr w:type="gram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V. Cone-beam computed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tomographic analysis of sinus membrane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thickness, ostium patency, and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residual ridge heights in the posterior maxill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a: implications for sinus floor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elevation.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Clin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Oral Implants Res. 2014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;25:755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–60.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25. Janner SF,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Caversaccio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MD, Dubach P,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Sendi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P,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Buser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D, Bornstein MM.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Characteristics and dimensions 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of the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Schneiderian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membrane: a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radiographic analysis using cone beam 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computed tomography in patients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referred for dental implant surgery in t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he posterior maxilla.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Clin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Oral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Implants Res. 2011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;22:1446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–53.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26. Hofmann E. Radiology of the nose and paran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asal sinuses for the endoscopic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sinus surgeon. In: Stucker FJ, de Souza C, Ken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yon GS,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Lian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TS,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Draf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W, Schick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B, editors. Rhinology and facial plastic surger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y. Berlin, Heidelberg: Springer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Berlin Heidelberg; 2009. p. 507–12.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27.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Fatterpekar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GM,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Delman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BN,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Som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PM. 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Imagi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ng</w:t>
      </w:r>
      <w:proofErr w:type="gram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the paranasal sinuses: where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we are and where we are going.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Anat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Rec (Hoboken). 2008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;291:1564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–72.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28.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Aimetti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Massei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G,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Morra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Cardesi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E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, Romano F. Correlation between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gingival phenotype and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Schneiderian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membrane thickness.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Int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J Oral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Maxillofac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Implants. 2008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;23:1128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–32.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29.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Cattaneo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Dalstra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Melsen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B. Moment-to-f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orce ratio, center of rotation,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and force level: a finite element study predi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cting their interdependency for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simulated orthodontic loading regimen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s. Am J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2008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;133:681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–9.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30. Graber LW,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Vanarsdall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RL Jr,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Vig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KWL. Orthodontics: current principles and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techniques. 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5th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ed. Philadelphia: Mosby; 2012. p. 345–80.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31.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Kravitz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ND,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Kusnoto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B,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Tsay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TP,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Hohlt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WF.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The use of temporary anchorage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devices for molar intrusion. J Am Dent Assoc. 2007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;138:56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–64.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32.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Manhartsberger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C, Morton JY,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Burstone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CJ. 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Space closure in adult patients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using the segmented arch technique. Angle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1989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;59:205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–10.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33.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Wehrbein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H, Bauer W,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Wessing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G,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Diedrich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P. The effect of the maxillary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sinus floor on orthodontic tooth movement.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Fortschr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Kieferorthop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1990</w:t>
      </w:r>
      <w:proofErr w:type="gram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;51</w:t>
      </w:r>
      <w:proofErr w:type="gram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: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345–51.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lastRenderedPageBreak/>
        <w:t xml:space="preserve">34. Isaacson RJ,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Lindauer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SJ,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Davidovi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tch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M. On tooth movement. Angle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1993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;63:305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–9.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35.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Wingard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CE, Bowers GM. The effects of fac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ial bone from facial tipping of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incisors in monkeys. J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Periodontol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1976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;47:450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–4.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36.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Somar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Mohadeb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JV, Huang C. Predi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ctability of orthodontic forced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eruption in developing an implant site: a sy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stematic review. J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Clin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2016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;50:485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–92.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37. Mohan N, Wolf J,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Dym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H. Maxillary sinus augmentation. Den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t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Clin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N Am.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2015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;59:375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–88.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38. Jensen OT,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Brownd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C, Baer D. Maxillary mol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ar sinus floor intrusion at the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time of dental extraction. J Oral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Maxillofac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Surg. 2006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;64:1415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–9.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39. Huang GJ, Richmond S,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Vig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KWL. Evidence-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based orthodontics. </w:t>
      </w:r>
      <w:proofErr w:type="gram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1st</w:t>
      </w:r>
      <w:proofErr w:type="gram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ed. UK: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Wiley-Blackwell; 2011. p. 63–87.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40. Yi J, Sun Y, Li Y, Li C, Li X, Zhao Z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. Cone-beam computed tomography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versus periapical radiograph for diagnos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ing external root resorption: a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systematic review and meta-analysis. Angle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2017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;87:328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–37.</w:t>
      </w:r>
    </w:p>
    <w:p w:rsidR="00776EDE" w:rsidRP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41.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Wehrbein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H,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Fuhrmann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RA,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Diedrich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PR. H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uman histologic tissue response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after long-term orthodontic tooth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movement. Am J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Orthod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Dentofac</w:t>
      </w:r>
      <w:proofErr w:type="spell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Orthop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1995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;107:360</w:t>
      </w:r>
      <w:proofErr w:type="gram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–71.</w:t>
      </w:r>
    </w:p>
    <w:p w:rsidR="00776EDE" w:rsidRDefault="00776EDE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42. Lopes LJ,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Gamba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TO, </w:t>
      </w:r>
      <w:proofErr w:type="spell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Bertinato</w:t>
      </w:r>
      <w:proofErr w:type="spellEnd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JV, </w:t>
      </w:r>
      <w:proofErr w:type="gramStart"/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Frei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tas</w:t>
      </w:r>
      <w:proofErr w:type="gramEnd"/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 DQ. Comparison of panoramic </w:t>
      </w:r>
      <w:r w:rsidRPr="00776EDE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radiography and CBCT to identify maxilla</w:t>
      </w:r>
      <w:r w:rsid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ry posterior roots invading the </w:t>
      </w:r>
      <w:r w:rsidRP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 xml:space="preserve">maxillary sinus. </w:t>
      </w:r>
      <w:proofErr w:type="spellStart"/>
      <w:r w:rsidRP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Dentomaxillofac</w:t>
      </w:r>
      <w:proofErr w:type="spellEnd"/>
      <w:r w:rsidR="004144A1">
        <w:rPr>
          <w:rFonts w:ascii="Times New Roman" w:hAnsi="Times New Roman" w:cs="Times New Roman"/>
          <w:color w:val="131413"/>
          <w:kern w:val="0"/>
          <w:sz w:val="24"/>
          <w:szCs w:val="24"/>
        </w:rPr>
        <w:t xml:space="preserve"> </w:t>
      </w:r>
      <w:proofErr w:type="spellStart"/>
      <w:r w:rsidRP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Radiol</w:t>
      </w:r>
      <w:proofErr w:type="spellEnd"/>
      <w:r w:rsidRP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 2016</w:t>
      </w:r>
      <w:proofErr w:type="gramStart"/>
      <w:r w:rsidRP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;45:20160043</w:t>
      </w:r>
      <w:proofErr w:type="gramEnd"/>
      <w:r w:rsidRPr="00CB7F09"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  <w:t>.</w:t>
      </w: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1D7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</w:pPr>
      <w:r w:rsidRPr="004144A1"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  <w:t>Приложение №</w:t>
      </w:r>
      <w:r w:rsidRPr="004144A1"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  <w:t xml:space="preserve"> 1</w:t>
      </w:r>
    </w:p>
    <w:p w:rsidR="004144A1" w:rsidRPr="004144A1" w:rsidRDefault="004144A1" w:rsidP="001D7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</w:pPr>
    </w:p>
    <w:p w:rsidR="001D7D6F" w:rsidRPr="004144A1" w:rsidRDefault="001D7D6F" w:rsidP="001D7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</w:pPr>
      <w:r w:rsidRPr="004144A1"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  <w:t xml:space="preserve">Таблица № </w:t>
      </w:r>
      <w:r w:rsidRPr="004144A1"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  <w:t>2</w:t>
      </w:r>
    </w:p>
    <w:p w:rsidR="001D7D6F" w:rsidRDefault="001D7D6F" w:rsidP="001D7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</w:rPr>
      </w:pPr>
    </w:p>
    <w:p w:rsidR="001D7D6F" w:rsidRDefault="001D7D6F" w:rsidP="001D7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9CE3655" wp14:editId="10976A1D">
            <wp:extent cx="5936615" cy="4721225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49AEC55" wp14:editId="7FAD4280">
            <wp:extent cx="5936615" cy="2449830"/>
            <wp:effectExtent l="0" t="0" r="698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4A1" w:rsidRPr="004144A1" w:rsidRDefault="004144A1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D8204FC" wp14:editId="1E679CD2">
            <wp:extent cx="5936615" cy="4832985"/>
            <wp:effectExtent l="0" t="0" r="698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31413"/>
          <w:kern w:val="0"/>
          <w:sz w:val="24"/>
          <w:szCs w:val="24"/>
        </w:rPr>
        <w:t xml:space="preserve"> </w:t>
      </w:r>
    </w:p>
    <w:p w:rsidR="004144A1" w:rsidRDefault="004144A1" w:rsidP="00414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AAAC170" wp14:editId="7BC949C9">
            <wp:extent cx="5734050" cy="131376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79" cy="131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4A1" w:rsidRDefault="004144A1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4144A1" w:rsidRDefault="004144A1" w:rsidP="00414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</w:pPr>
      <w:r w:rsidRPr="004144A1"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  <w:lastRenderedPageBreak/>
        <w:t>Приложение №</w:t>
      </w:r>
      <w:r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  <w:t xml:space="preserve"> 2</w:t>
      </w:r>
    </w:p>
    <w:p w:rsidR="004144A1" w:rsidRPr="004144A1" w:rsidRDefault="004144A1" w:rsidP="00414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u w:val="single"/>
        </w:rPr>
      </w:pPr>
    </w:p>
    <w:p w:rsidR="004144A1" w:rsidRDefault="004144A1" w:rsidP="00414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</w:pPr>
      <w:r w:rsidRPr="004144A1"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  <w:t>3</w:t>
      </w:r>
    </w:p>
    <w:p w:rsidR="004144A1" w:rsidRDefault="004144A1" w:rsidP="00414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</w:pPr>
    </w:p>
    <w:p w:rsidR="004144A1" w:rsidRPr="004144A1" w:rsidRDefault="004144A1" w:rsidP="00414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99EE3B0" wp14:editId="6F91C2C2">
            <wp:extent cx="5936615" cy="46691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4A1" w:rsidRDefault="004144A1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C1C6E82" wp14:editId="648F1991">
            <wp:extent cx="5936615" cy="2837180"/>
            <wp:effectExtent l="0" t="0" r="698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4144A1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6F79FDD" wp14:editId="39F0B764">
            <wp:extent cx="5936615" cy="2837180"/>
            <wp:effectExtent l="0" t="0" r="698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p w:rsidR="001D7D6F" w:rsidRPr="004144A1" w:rsidRDefault="004144A1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</w:rPr>
      </w:pPr>
      <w:r>
        <w:rPr>
          <w:rFonts w:ascii="Times New Roman" w:hAnsi="Times New Roman" w:cs="Times New Roman"/>
          <w:color w:val="131413"/>
          <w:kern w:val="0"/>
          <w:sz w:val="24"/>
          <w:szCs w:val="24"/>
        </w:rPr>
        <w:t xml:space="preserve"> </w:t>
      </w:r>
    </w:p>
    <w:p w:rsidR="001D7D6F" w:rsidRPr="001D7D6F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</w:rPr>
      </w:pPr>
    </w:p>
    <w:p w:rsidR="001D7D6F" w:rsidRPr="00CB7F09" w:rsidRDefault="001D7D6F" w:rsidP="00CB7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kern w:val="0"/>
          <w:sz w:val="24"/>
          <w:szCs w:val="24"/>
          <w:lang w:val="en-US"/>
        </w:rPr>
      </w:pPr>
    </w:p>
    <w:sectPr w:rsidR="001D7D6F" w:rsidRPr="00CB7F09">
      <w:headerReference w:type="default" r:id="rId16"/>
      <w:footerReference w:type="default" r:id="rId1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42" w:rsidRDefault="009A7242">
      <w:pPr>
        <w:spacing w:after="0" w:line="240" w:lineRule="auto"/>
      </w:pPr>
      <w:r>
        <w:separator/>
      </w:r>
    </w:p>
  </w:endnote>
  <w:endnote w:type="continuationSeparator" w:id="0">
    <w:p w:rsidR="009A7242" w:rsidRDefault="009A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hkkqfAdvTTe45e47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FB" w:rsidRDefault="00CA5A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42" w:rsidRDefault="009A7242">
      <w:pPr>
        <w:spacing w:after="0" w:line="240" w:lineRule="auto"/>
      </w:pPr>
      <w:r>
        <w:separator/>
      </w:r>
    </w:p>
  </w:footnote>
  <w:footnote w:type="continuationSeparator" w:id="0">
    <w:p w:rsidR="009A7242" w:rsidRDefault="009A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FB" w:rsidRDefault="00CA5A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6183"/>
    <w:multiLevelType w:val="hybridMultilevel"/>
    <w:tmpl w:val="F8E02FDC"/>
    <w:numStyleLink w:val="a"/>
  </w:abstractNum>
  <w:abstractNum w:abstractNumId="1" w15:restartNumberingAfterBreak="0">
    <w:nsid w:val="6C3E4597"/>
    <w:multiLevelType w:val="hybridMultilevel"/>
    <w:tmpl w:val="F8E02FDC"/>
    <w:styleLink w:val="a"/>
    <w:lvl w:ilvl="0" w:tplc="7264F1B0">
      <w:start w:val="1"/>
      <w:numFmt w:val="decimal"/>
      <w:suff w:val="nothing"/>
      <w:lvlText w:val="(%1)"/>
      <w:lvlJc w:val="left"/>
      <w:pPr>
        <w:ind w:left="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E2C3E">
      <w:start w:val="1"/>
      <w:numFmt w:val="decimal"/>
      <w:suff w:val="nothing"/>
      <w:lvlText w:val="(%2)"/>
      <w:lvlJc w:val="left"/>
      <w:pPr>
        <w:ind w:left="1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44D0A">
      <w:start w:val="1"/>
      <w:numFmt w:val="decimal"/>
      <w:suff w:val="nothing"/>
      <w:lvlText w:val="(%3)"/>
      <w:lvlJc w:val="left"/>
      <w:pPr>
        <w:ind w:left="2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A14A6">
      <w:start w:val="1"/>
      <w:numFmt w:val="decimal"/>
      <w:suff w:val="nothing"/>
      <w:lvlText w:val="(%4)"/>
      <w:lvlJc w:val="left"/>
      <w:pPr>
        <w:ind w:left="3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AC244">
      <w:start w:val="1"/>
      <w:numFmt w:val="decimal"/>
      <w:suff w:val="nothing"/>
      <w:lvlText w:val="(%5)"/>
      <w:lvlJc w:val="left"/>
      <w:pPr>
        <w:ind w:left="4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A48F1E">
      <w:start w:val="1"/>
      <w:numFmt w:val="decimal"/>
      <w:suff w:val="nothing"/>
      <w:lvlText w:val="(%6)"/>
      <w:lvlJc w:val="left"/>
      <w:pPr>
        <w:ind w:left="5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863686">
      <w:start w:val="1"/>
      <w:numFmt w:val="decimal"/>
      <w:suff w:val="nothing"/>
      <w:lvlText w:val="(%7)"/>
      <w:lvlJc w:val="left"/>
      <w:pPr>
        <w:ind w:left="6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C384A">
      <w:start w:val="1"/>
      <w:numFmt w:val="decimal"/>
      <w:suff w:val="nothing"/>
      <w:lvlText w:val="(%8)"/>
      <w:lvlJc w:val="left"/>
      <w:pPr>
        <w:ind w:left="7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299A">
      <w:start w:val="1"/>
      <w:numFmt w:val="decimal"/>
      <w:suff w:val="nothing"/>
      <w:lvlText w:val="(%9)"/>
      <w:lvlJc w:val="left"/>
      <w:pPr>
        <w:ind w:left="8263" w:firstLine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FB"/>
    <w:rsid w:val="001D7D6F"/>
    <w:rsid w:val="004144A1"/>
    <w:rsid w:val="00776EDE"/>
    <w:rsid w:val="008F44FD"/>
    <w:rsid w:val="009A7242"/>
    <w:rsid w:val="00AD6AC8"/>
    <w:rsid w:val="00CA5AFB"/>
    <w:rsid w:val="00C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2C468-D529-45F1-BF48-2F627DD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kern w:val="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563C1"/>
      <w:kern w:val="0"/>
      <w:sz w:val="24"/>
      <w:szCs w:val="24"/>
      <w:u w:val="single" w:color="0563C1"/>
    </w:rPr>
  </w:style>
  <w:style w:type="numbering" w:customStyle="1" w:styleId="a">
    <w:name w:val="С букв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liu@scu.edu.cn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86/s12903-018-0551-1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Evgeny</cp:lastModifiedBy>
  <cp:revision>4</cp:revision>
  <dcterms:created xsi:type="dcterms:W3CDTF">2021-09-27T06:23:00Z</dcterms:created>
  <dcterms:modified xsi:type="dcterms:W3CDTF">2021-09-27T15:46:00Z</dcterms:modified>
</cp:coreProperties>
</file>